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45" w:lineRule="atLeast"/>
        <w:jc w:val="left"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附件1</w:t>
      </w:r>
    </w:p>
    <w:p>
      <w:pPr>
        <w:widowControl/>
        <w:spacing w:line="345" w:lineRule="atLeast"/>
        <w:jc w:val="center"/>
        <w:rPr>
          <w:rFonts w:asciiTheme="majorEastAsia" w:hAnsiTheme="majorEastAsia" w:eastAsiaTheme="majorEastAsia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报价银行基本要求</w:t>
      </w:r>
    </w:p>
    <w:p>
      <w:pPr>
        <w:widowControl/>
        <w:spacing w:line="345" w:lineRule="atLeast"/>
        <w:jc w:val="center"/>
        <w:rPr>
          <w:rFonts w:ascii="仿宋_GB2312" w:hAnsi="Arial" w:eastAsia="仿宋_GB2312" w:cs="Arial"/>
          <w:color w:val="000000"/>
          <w:kern w:val="0"/>
          <w:sz w:val="32"/>
          <w:szCs w:val="32"/>
        </w:rPr>
      </w:pPr>
    </w:p>
    <w:p>
      <w:pPr>
        <w:pStyle w:val="10"/>
        <w:numPr>
          <w:ilvl w:val="0"/>
          <w:numId w:val="0"/>
        </w:numPr>
        <w:spacing w:line="240" w:lineRule="atLeast"/>
        <w:ind w:firstLine="566" w:firstLineChars="177"/>
        <w:rPr>
          <w:rFonts w:ascii="仿宋_GB2312" w:hAnsi="Arial" w:eastAsia="仿宋_GB2312" w:cs="Arial"/>
          <w:color w:val="000000"/>
          <w:sz w:val="32"/>
          <w:szCs w:val="32"/>
        </w:rPr>
      </w:pPr>
      <w:r>
        <w:rPr>
          <w:rFonts w:hint="eastAsia" w:ascii="仿宋_GB2312" w:hAnsi="Arial" w:eastAsia="仿宋_GB2312" w:cs="Arial"/>
          <w:color w:val="000000"/>
          <w:sz w:val="32"/>
          <w:szCs w:val="32"/>
        </w:rPr>
        <w:t>1.在青岛市区域设有分支机构；</w:t>
      </w:r>
    </w:p>
    <w:p>
      <w:pPr>
        <w:pStyle w:val="10"/>
        <w:numPr>
          <w:ilvl w:val="0"/>
          <w:numId w:val="0"/>
        </w:numPr>
        <w:spacing w:line="240" w:lineRule="atLeast"/>
        <w:ind w:left="-4" w:leftChars="-2" w:firstLine="566" w:firstLineChars="177"/>
        <w:rPr>
          <w:rFonts w:ascii="仿宋_GB2312" w:hAnsi="Arial" w:eastAsia="仿宋_GB2312" w:cs="Arial"/>
          <w:color w:val="000000"/>
          <w:sz w:val="32"/>
          <w:szCs w:val="32"/>
        </w:rPr>
      </w:pPr>
      <w:r>
        <w:rPr>
          <w:rFonts w:hint="eastAsia" w:ascii="仿宋_GB2312" w:hAnsi="Arial" w:eastAsia="仿宋_GB2312" w:cs="Arial"/>
          <w:color w:val="000000"/>
          <w:sz w:val="32"/>
          <w:szCs w:val="32"/>
        </w:rPr>
        <w:t>2.依法</w:t>
      </w:r>
      <w:bookmarkStart w:id="0" w:name="_GoBack"/>
      <w:bookmarkEnd w:id="0"/>
      <w:r>
        <w:rPr>
          <w:rFonts w:hint="eastAsia" w:ascii="仿宋_GB2312" w:hAnsi="Arial" w:eastAsia="仿宋_GB2312" w:cs="Arial"/>
          <w:color w:val="000000"/>
          <w:sz w:val="32"/>
          <w:szCs w:val="32"/>
        </w:rPr>
        <w:t>开展经营活动，银监部门年度监管评级2级（含）以上或人民银行年度综合评价B级（含）以上；</w:t>
      </w:r>
    </w:p>
    <w:p>
      <w:pPr>
        <w:pStyle w:val="10"/>
        <w:numPr>
          <w:ilvl w:val="0"/>
          <w:numId w:val="0"/>
        </w:numPr>
        <w:spacing w:line="240" w:lineRule="atLeast"/>
        <w:ind w:left="2" w:firstLine="579" w:firstLineChars="181"/>
        <w:rPr>
          <w:rFonts w:ascii="仿宋_GB2312" w:hAnsi="Arial" w:eastAsia="仿宋_GB2312" w:cs="Arial"/>
          <w:color w:val="000000"/>
          <w:sz w:val="32"/>
          <w:szCs w:val="32"/>
        </w:rPr>
      </w:pPr>
      <w:r>
        <w:rPr>
          <w:rFonts w:hint="eastAsia" w:ascii="仿宋_GB2312" w:hAnsi="Arial" w:eastAsia="仿宋_GB2312" w:cs="Arial"/>
          <w:color w:val="000000"/>
          <w:sz w:val="32"/>
          <w:szCs w:val="32"/>
        </w:rPr>
        <w:t>3.财务稳健，资本充足率、流动性比例等指标达到监管标准；</w:t>
      </w:r>
    </w:p>
    <w:p>
      <w:pPr>
        <w:pStyle w:val="10"/>
        <w:numPr>
          <w:ilvl w:val="0"/>
          <w:numId w:val="0"/>
        </w:numPr>
        <w:spacing w:line="240" w:lineRule="atLeast"/>
        <w:ind w:firstLine="566" w:firstLineChars="177"/>
        <w:rPr>
          <w:rFonts w:hint="eastAsia" w:ascii="仿宋_GB2312" w:hAnsi="Arial" w:eastAsia="仿宋_GB2312" w:cs="Arial"/>
          <w:color w:val="000000"/>
          <w:sz w:val="32"/>
          <w:szCs w:val="32"/>
          <w:lang w:eastAsia="zh-CN"/>
        </w:rPr>
      </w:pPr>
      <w:r>
        <w:rPr>
          <w:rFonts w:hint="eastAsia" w:ascii="仿宋_GB2312" w:hAnsi="Arial" w:eastAsia="仿宋_GB2312" w:cs="Arial"/>
          <w:color w:val="000000"/>
          <w:sz w:val="32"/>
          <w:szCs w:val="32"/>
        </w:rPr>
        <w:t>4.内部管理机制健全，具有较强的风险控制能力，近3年内未发生金融风险及重大违约事件</w:t>
      </w:r>
      <w:r>
        <w:rPr>
          <w:rFonts w:hint="eastAsia" w:ascii="仿宋_GB2312" w:hAnsi="Arial" w:eastAsia="仿宋_GB2312" w:cs="Arial"/>
          <w:color w:val="000000"/>
          <w:sz w:val="32"/>
          <w:szCs w:val="32"/>
          <w:lang w:eastAsia="zh-CN"/>
        </w:rPr>
        <w:t>；</w:t>
      </w:r>
    </w:p>
    <w:p>
      <w:pPr>
        <w:pStyle w:val="10"/>
        <w:numPr>
          <w:ilvl w:val="0"/>
          <w:numId w:val="0"/>
        </w:numPr>
        <w:spacing w:line="240" w:lineRule="atLeast"/>
        <w:ind w:firstLine="566" w:firstLineChars="177"/>
        <w:rPr>
          <w:rFonts w:ascii="仿宋_GB2312" w:hAnsi="Arial" w:eastAsia="仿宋_GB2312" w:cs="Arial"/>
          <w:color w:val="000000"/>
          <w:sz w:val="32"/>
          <w:szCs w:val="32"/>
        </w:rPr>
      </w:pPr>
      <w:r>
        <w:rPr>
          <w:rFonts w:hint="eastAsia" w:ascii="仿宋_GB2312" w:hAnsi="Arial" w:eastAsia="仿宋_GB2312" w:cs="Arial"/>
          <w:color w:val="000000"/>
          <w:sz w:val="32"/>
          <w:szCs w:val="32"/>
        </w:rPr>
        <w:t>5.与集团及分子公司存在战略合作关系或存在融资等业务往来，包括但不限于银行贷款等间接融资业务及发行企业债、中票、融资租赁等直接融资业务的银行业金融机构及其分支机构</w:t>
      </w:r>
      <w:r>
        <w:rPr>
          <w:rFonts w:hint="eastAsia" w:ascii="仿宋_GB2312" w:hAnsi="Arial" w:eastAsia="仿宋_GB2312" w:cs="Arial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Arial" w:eastAsia="仿宋_GB2312" w:cs="Arial"/>
          <w:color w:val="000000"/>
          <w:sz w:val="32"/>
          <w:szCs w:val="32"/>
          <w:lang w:val="en-US" w:eastAsia="zh-CN"/>
        </w:rPr>
        <w:t>且集团</w:t>
      </w:r>
      <w:r>
        <w:rPr>
          <w:rFonts w:hint="eastAsia" w:ascii="仿宋_GB2312" w:hAnsi="Arial" w:eastAsia="仿宋_GB2312" w:cs="Arial"/>
          <w:color w:val="000000"/>
          <w:sz w:val="32"/>
          <w:szCs w:val="32"/>
          <w:lang w:val="en-US" w:eastAsia="zh-Hans"/>
        </w:rPr>
        <w:t>在该金融机构已</w:t>
      </w:r>
      <w:r>
        <w:rPr>
          <w:rFonts w:hint="eastAsia" w:ascii="仿宋_GB2312" w:hAnsi="Arial" w:eastAsia="仿宋_GB2312" w:cs="Arial"/>
          <w:color w:val="000000"/>
          <w:sz w:val="32"/>
          <w:szCs w:val="32"/>
          <w:lang w:val="en-US" w:eastAsia="zh-CN"/>
        </w:rPr>
        <w:t>开立银行账户</w:t>
      </w:r>
      <w:r>
        <w:rPr>
          <w:rFonts w:hint="eastAsia" w:ascii="仿宋_GB2312" w:hAnsi="Arial" w:eastAsia="仿宋_GB2312" w:cs="Arial"/>
          <w:color w:val="000000"/>
          <w:sz w:val="32"/>
          <w:szCs w:val="32"/>
        </w:rPr>
        <w:t>。同一金融机构仅能授权一家分支机构参与，多家分支机构同时参与的，以金融机构授权委托书为准。</w:t>
      </w:r>
    </w:p>
    <w:p>
      <w:pPr>
        <w:widowControl/>
        <w:spacing w:line="345" w:lineRule="atLeast"/>
        <w:jc w:val="left"/>
        <w:rPr>
          <w:rFonts w:ascii="仿宋_GB2312" w:hAnsi="Arial" w:eastAsia="仿宋_GB2312" w:cs="Arial"/>
          <w:color w:val="000000"/>
          <w:kern w:val="0"/>
          <w:sz w:val="32"/>
          <w:szCs w:val="32"/>
        </w:rPr>
      </w:pPr>
    </w:p>
    <w:p>
      <w:pPr>
        <w:pStyle w:val="10"/>
        <w:numPr>
          <w:ilvl w:val="0"/>
          <w:numId w:val="0"/>
        </w:numPr>
        <w:spacing w:line="240" w:lineRule="atLeast"/>
        <w:ind w:firstLine="566" w:firstLineChars="177"/>
        <w:rPr>
          <w:rFonts w:ascii="仿宋_GB2312" w:hAnsi="Arial" w:eastAsia="仿宋_GB2312" w:cs="Arial"/>
          <w:color w:val="000000"/>
          <w:sz w:val="32"/>
          <w:szCs w:val="32"/>
        </w:rPr>
      </w:pPr>
    </w:p>
    <w:p>
      <w:pPr>
        <w:widowControl/>
        <w:spacing w:line="345" w:lineRule="atLeast"/>
        <w:jc w:val="left"/>
        <w:rPr>
          <w:rFonts w:ascii="仿宋_GB2312" w:hAnsi="Arial" w:eastAsia="仿宋_GB2312" w:cs="Arial"/>
          <w:color w:val="000000"/>
          <w:kern w:val="0"/>
          <w:sz w:val="32"/>
          <w:szCs w:val="32"/>
        </w:rPr>
      </w:pPr>
    </w:p>
    <w:p>
      <w:pPr>
        <w:widowControl/>
        <w:spacing w:line="345" w:lineRule="atLeast"/>
        <w:jc w:val="left"/>
        <w:rPr>
          <w:rFonts w:ascii="仿宋_GB2312" w:hAnsi="Arial" w:eastAsia="仿宋_GB2312" w:cs="Arial"/>
          <w:color w:val="000000"/>
          <w:kern w:val="0"/>
          <w:sz w:val="32"/>
          <w:szCs w:val="32"/>
        </w:rPr>
      </w:pPr>
    </w:p>
    <w:p>
      <w:pPr>
        <w:widowControl/>
        <w:spacing w:line="345" w:lineRule="atLeast"/>
        <w:jc w:val="left"/>
        <w:rPr>
          <w:rFonts w:ascii="仿宋_GB2312" w:hAnsi="Arial" w:eastAsia="仿宋_GB2312" w:cs="Arial"/>
          <w:color w:val="000000"/>
          <w:kern w:val="0"/>
          <w:sz w:val="32"/>
          <w:szCs w:val="32"/>
        </w:rPr>
      </w:pPr>
    </w:p>
    <w:p>
      <w:pPr>
        <w:jc w:val="left"/>
        <w:rPr>
          <w:rFonts w:hint="eastAsia" w:ascii="仿宋_GB2312" w:hAnsi="Arial" w:eastAsia="仿宋_GB2312" w:cs="Arial"/>
          <w:color w:val="00000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EC808DE"/>
    <w:multiLevelType w:val="multilevel"/>
    <w:tmpl w:val="7EC808DE"/>
    <w:lvl w:ilvl="0" w:tentative="0">
      <w:start w:val="2"/>
      <w:numFmt w:val="lowerLetter"/>
      <w:pStyle w:val="10"/>
      <w:lvlText w:val="%1)"/>
      <w:lvlJc w:val="left"/>
      <w:pPr>
        <w:tabs>
          <w:tab w:val="left" w:pos="840"/>
        </w:tabs>
        <w:ind w:left="839" w:hanging="419"/>
      </w:pPr>
      <w:rPr>
        <w:rFonts w:hint="eastAsia" w:ascii="宋体" w:eastAsia="宋体"/>
        <w:b w:val="0"/>
        <w:i w:val="0"/>
        <w:sz w:val="21"/>
        <w:szCs w:val="21"/>
      </w:rPr>
    </w:lvl>
    <w:lvl w:ilvl="1" w:tentative="0">
      <w:start w:val="1"/>
      <w:numFmt w:val="decimal"/>
      <w:lvlText w:val="%2)"/>
      <w:lvlJc w:val="left"/>
      <w:pPr>
        <w:tabs>
          <w:tab w:val="left" w:pos="1260"/>
        </w:tabs>
        <w:ind w:left="1259" w:hanging="419"/>
      </w:pPr>
      <w:rPr>
        <w:rFonts w:hint="eastAsia"/>
      </w:rPr>
    </w:lvl>
    <w:lvl w:ilvl="2" w:tentative="0">
      <w:start w:val="1"/>
      <w:numFmt w:val="decimal"/>
      <w:lvlText w:val="(%3)"/>
      <w:lvlJc w:val="left"/>
      <w:pPr>
        <w:tabs>
          <w:tab w:val="left" w:pos="0"/>
        </w:tabs>
        <w:ind w:left="1679" w:hanging="420"/>
      </w:pPr>
      <w:rPr>
        <w:rFonts w:hint="eastAsia" w:ascii="宋体" w:eastAsia="宋体"/>
        <w:b w:val="0"/>
        <w:i w:val="0"/>
        <w:sz w:val="21"/>
        <w:szCs w:val="21"/>
      </w:rPr>
    </w:lvl>
    <w:lvl w:ilvl="3" w:tentative="0">
      <w:start w:val="1"/>
      <w:numFmt w:val="decimal"/>
      <w:lvlText w:val="%4."/>
      <w:lvlJc w:val="left"/>
      <w:pPr>
        <w:tabs>
          <w:tab w:val="left" w:pos="2100"/>
        </w:tabs>
        <w:ind w:left="2099" w:hanging="419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2520"/>
        </w:tabs>
        <w:ind w:left="2519" w:hanging="419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2940"/>
        </w:tabs>
        <w:ind w:left="2939" w:hanging="419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3360"/>
        </w:tabs>
        <w:ind w:left="3359" w:hanging="419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3780"/>
        </w:tabs>
        <w:ind w:left="3779" w:hanging="419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4200"/>
        </w:tabs>
        <w:ind w:left="4199" w:hanging="419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B94"/>
    <w:rsid w:val="00020BE6"/>
    <w:rsid w:val="00066BAF"/>
    <w:rsid w:val="000A3C84"/>
    <w:rsid w:val="000B0E3A"/>
    <w:rsid w:val="000B2587"/>
    <w:rsid w:val="000D7C71"/>
    <w:rsid w:val="00237101"/>
    <w:rsid w:val="002371AA"/>
    <w:rsid w:val="00271A3F"/>
    <w:rsid w:val="002B6A7A"/>
    <w:rsid w:val="002E30EA"/>
    <w:rsid w:val="002E652A"/>
    <w:rsid w:val="003454D8"/>
    <w:rsid w:val="00367721"/>
    <w:rsid w:val="003707BC"/>
    <w:rsid w:val="00391570"/>
    <w:rsid w:val="003C5841"/>
    <w:rsid w:val="00464F57"/>
    <w:rsid w:val="00470BE9"/>
    <w:rsid w:val="00475960"/>
    <w:rsid w:val="004769B3"/>
    <w:rsid w:val="004857EC"/>
    <w:rsid w:val="004E5CB2"/>
    <w:rsid w:val="005B1C52"/>
    <w:rsid w:val="005D1F6A"/>
    <w:rsid w:val="005F0812"/>
    <w:rsid w:val="0060317F"/>
    <w:rsid w:val="00623C70"/>
    <w:rsid w:val="00664282"/>
    <w:rsid w:val="006940D4"/>
    <w:rsid w:val="006F1F3D"/>
    <w:rsid w:val="006F256A"/>
    <w:rsid w:val="00731BDC"/>
    <w:rsid w:val="00737525"/>
    <w:rsid w:val="00746C4C"/>
    <w:rsid w:val="007721B5"/>
    <w:rsid w:val="007B2642"/>
    <w:rsid w:val="007C1101"/>
    <w:rsid w:val="007D6F97"/>
    <w:rsid w:val="008360BC"/>
    <w:rsid w:val="00910943"/>
    <w:rsid w:val="00984E2C"/>
    <w:rsid w:val="009905FD"/>
    <w:rsid w:val="009B1EE1"/>
    <w:rsid w:val="00A25B83"/>
    <w:rsid w:val="00A5108B"/>
    <w:rsid w:val="00A61852"/>
    <w:rsid w:val="00A91A97"/>
    <w:rsid w:val="00AF356B"/>
    <w:rsid w:val="00B71387"/>
    <w:rsid w:val="00BF6FD9"/>
    <w:rsid w:val="00C00109"/>
    <w:rsid w:val="00C10B94"/>
    <w:rsid w:val="00C363C7"/>
    <w:rsid w:val="00C61BE6"/>
    <w:rsid w:val="00CA46D8"/>
    <w:rsid w:val="00CD0E26"/>
    <w:rsid w:val="00CD16C1"/>
    <w:rsid w:val="00D06BAA"/>
    <w:rsid w:val="00D13B3F"/>
    <w:rsid w:val="00D63251"/>
    <w:rsid w:val="00DA3972"/>
    <w:rsid w:val="00E80FE8"/>
    <w:rsid w:val="00E84D2E"/>
    <w:rsid w:val="00E918FB"/>
    <w:rsid w:val="00F03E55"/>
    <w:rsid w:val="00F07E76"/>
    <w:rsid w:val="00F4277E"/>
    <w:rsid w:val="00F95727"/>
    <w:rsid w:val="011011E9"/>
    <w:rsid w:val="02DE1A52"/>
    <w:rsid w:val="03AD5680"/>
    <w:rsid w:val="0885705F"/>
    <w:rsid w:val="097725B3"/>
    <w:rsid w:val="10EB633E"/>
    <w:rsid w:val="17081C08"/>
    <w:rsid w:val="18305001"/>
    <w:rsid w:val="21D95B47"/>
    <w:rsid w:val="31DA5A66"/>
    <w:rsid w:val="3DFF251A"/>
    <w:rsid w:val="3FA35538"/>
    <w:rsid w:val="3FE4657E"/>
    <w:rsid w:val="450C177B"/>
    <w:rsid w:val="450D0399"/>
    <w:rsid w:val="4ECA2ABE"/>
    <w:rsid w:val="52536FE7"/>
    <w:rsid w:val="5A2616D6"/>
    <w:rsid w:val="5C2426FD"/>
    <w:rsid w:val="643263CA"/>
    <w:rsid w:val="67016EC4"/>
    <w:rsid w:val="744F4F4F"/>
    <w:rsid w:val="7A415B63"/>
    <w:rsid w:val="7BB82EB7"/>
    <w:rsid w:val="DDFE2772"/>
    <w:rsid w:val="FFD70B2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22"/>
    <w:rPr>
      <w:b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  <w:style w:type="paragraph" w:customStyle="1" w:styleId="10">
    <w:name w:val="字母编号列项（一级）"/>
    <w:qFormat/>
    <w:uiPriority w:val="0"/>
    <w:pPr>
      <w:numPr>
        <w:ilvl w:val="0"/>
        <w:numId w:val="1"/>
      </w:numPr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  <w:style w:type="character" w:customStyle="1" w:styleId="11">
    <w:name w:val="日期 Char"/>
    <w:basedOn w:val="6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276</Words>
  <Characters>281</Characters>
  <Lines>4</Lines>
  <Paragraphs>1</Paragraphs>
  <TotalTime>0</TotalTime>
  <ScaleCrop>false</ScaleCrop>
  <LinksUpToDate>false</LinksUpToDate>
  <CharactersWithSpaces>281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2017-10-10T17:09:00Z</dcterms:created>
  <dc:creator>杨曼宁</dc:creator>
  <cp:lastModifiedBy>杨帆</cp:lastModifiedBy>
  <cp:lastPrinted>2022-11-30T10:18:00Z</cp:lastPrinted>
  <dcterms:modified xsi:type="dcterms:W3CDTF">2025-08-11T03:29:47Z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KSOTemplateDocerSaveRecord">
    <vt:lpwstr>eyJoZGlkIjoiMjM2Zjk0ZWE2M2JmMWIwNDllZTEwOGExZTU0NTlkMWQiLCJ1c2VySWQiOiIzOTQxNTgwODgifQ==</vt:lpwstr>
  </property>
  <property fmtid="{D5CDD505-2E9C-101B-9397-08002B2CF9AE}" pid="4" name="ICV">
    <vt:lpwstr>7261CACFFA6F4BE09CCE245C4F381940_12</vt:lpwstr>
  </property>
</Properties>
</file>