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融资方案表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致：青岛建融投资置业有限公司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拟参与青岛建融投资置业有限公司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租赁住房贷款融资方案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</w:rPr>
              <w:t>青岛建融投资置业有限公司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资本金比例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不高于总投资百分比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tbl>
      <w:tblPr>
        <w:tblStyle w:val="3"/>
        <w:tblW w:w="8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45"/>
        <w:gridCol w:w="1636"/>
        <w:gridCol w:w="3862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融资方案评分要素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要素</w:t>
            </w:r>
          </w:p>
        </w:tc>
        <w:tc>
          <w:tcPr>
            <w:tcW w:w="54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4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对地铁集团整体的授信额度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担保方式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集团保证担保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置业、房投及下属子公司保证或抵押担保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综合金融服务能力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所属集团在青岛是否设有分支机构，可提供银行、保险、证券等综合性金融服务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金融机构的服务承诺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监管户/一般户协定存款利率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是否限定监管资金使用、转款及备偿要求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项目公司是否承担评估费、保险费等除利息以外的费用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银行存量贷款管理规模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高于等于1000亿小于2000亿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低于1000亿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7817120F"/>
    <w:rsid w:val="23A81341"/>
    <w:rsid w:val="7817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2023-12-19T02:12:00Z</dcterms:created>
  <dc:creator>WPS_1614601428</dc:creator>
  <cp:lastModifiedBy>寒殒</cp:lastModifiedBy>
  <dcterms:modified xsi:type="dcterms:W3CDTF">2024-03-27T06:59:57Z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C96F18A884504BCF812F4C9CA5AFD808_11</vt:lpwstr>
  </property>
</Properties>
</file>