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</w:p>
    <w:p>
      <w:pPr>
        <w:spacing w:line="560" w:lineRule="exact"/>
        <w:ind w:firstLine="643" w:firstLineChars="200"/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青岛市地铁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6号线二期项目银团牵头行</w:t>
      </w:r>
    </w:p>
    <w:p>
      <w:pPr>
        <w:spacing w:line="560" w:lineRule="exact"/>
        <w:ind w:firstLine="643" w:firstLineChars="200"/>
        <w:jc w:val="center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报价单</w:t>
      </w:r>
    </w:p>
    <w:bookmarkEnd w:id="0"/>
    <w:p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致：青岛地铁集团有限公司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我行拟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参与</w:t>
      </w:r>
      <w:r>
        <w:rPr>
          <w:rFonts w:hint="eastAsia" w:ascii="仿宋_GB2312" w:hAnsi="仿宋_GB2312" w:eastAsia="仿宋_GB2312" w:cs="仿宋_GB2312"/>
          <w:sz w:val="32"/>
          <w:szCs w:val="32"/>
        </w:rPr>
        <w:t>地铁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6号线二期项目银团牵头行征询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相关报价条款</w:t>
      </w:r>
      <w:r>
        <w:rPr>
          <w:rFonts w:hint="eastAsia" w:ascii="仿宋_GB2312" w:hAnsi="仿宋_GB2312" w:eastAsia="仿宋_GB2312" w:cs="仿宋_GB2312"/>
          <w:sz w:val="32"/>
          <w:szCs w:val="32"/>
        </w:rPr>
        <w:t>如下：</w:t>
      </w:r>
    </w:p>
    <w:tbl>
      <w:tblPr>
        <w:tblStyle w:val="3"/>
        <w:tblW w:w="88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44"/>
        <w:gridCol w:w="1941"/>
        <w:gridCol w:w="2206"/>
        <w:gridCol w:w="23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344" w:type="dxa"/>
            <w:vAlign w:val="center"/>
          </w:tcPr>
          <w:p>
            <w:pPr>
              <w:widowControl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借款人</w:t>
            </w:r>
          </w:p>
        </w:tc>
        <w:tc>
          <w:tcPr>
            <w:tcW w:w="6504" w:type="dxa"/>
            <w:gridSpan w:val="3"/>
            <w:vAlign w:val="center"/>
          </w:tcPr>
          <w:p>
            <w:pPr>
              <w:widowControl w:val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青岛地铁集团有限公司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344" w:type="dxa"/>
            <w:vAlign w:val="center"/>
          </w:tcPr>
          <w:p>
            <w:pPr>
              <w:widowControl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项目名称</w:t>
            </w:r>
          </w:p>
        </w:tc>
        <w:tc>
          <w:tcPr>
            <w:tcW w:w="6504" w:type="dxa"/>
            <w:gridSpan w:val="3"/>
            <w:vAlign w:val="center"/>
          </w:tcPr>
          <w:p>
            <w:pPr>
              <w:widowControl w:val="0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6号线二期项目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2344" w:type="dxa"/>
            <w:vMerge w:val="restart"/>
            <w:vAlign w:val="center"/>
          </w:tcPr>
          <w:p>
            <w:pPr>
              <w:widowControl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期限（年）及</w:t>
            </w:r>
            <w:r>
              <w:rPr>
                <w:rFonts w:hint="eastAsia" w:ascii="仿宋_GB2312" w:eastAsia="仿宋_GB2312"/>
                <w:b/>
                <w:bCs/>
                <w:sz w:val="28"/>
                <w:szCs w:val="28"/>
                <w:lang w:eastAsia="zh-CN"/>
              </w:rPr>
              <w:t>兜底</w:t>
            </w: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额度</w:t>
            </w:r>
          </w:p>
        </w:tc>
        <w:tc>
          <w:tcPr>
            <w:tcW w:w="1941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期限</w:t>
            </w:r>
            <w:r>
              <w:rPr>
                <w:rFonts w:hint="eastAsia" w:ascii="仿宋_GB2312" w:eastAsia="仿宋_GB2312"/>
                <w:b/>
                <w:bCs/>
                <w:sz w:val="28"/>
                <w:szCs w:val="28"/>
                <w:lang w:eastAsia="zh-CN"/>
              </w:rPr>
              <w:t>、宽限期</w:t>
            </w:r>
          </w:p>
        </w:tc>
        <w:tc>
          <w:tcPr>
            <w:tcW w:w="2206" w:type="dxa"/>
            <w:vAlign w:val="center"/>
          </w:tcPr>
          <w:p>
            <w:pPr>
              <w:widowControl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额度（亿元）</w:t>
            </w:r>
          </w:p>
        </w:tc>
        <w:tc>
          <w:tcPr>
            <w:tcW w:w="2357" w:type="dxa"/>
            <w:vAlign w:val="center"/>
          </w:tcPr>
          <w:p>
            <w:pPr>
              <w:widowControl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利率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344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941" w:type="dxa"/>
            <w:vAlign w:val="center"/>
          </w:tcPr>
          <w:p>
            <w:pPr>
              <w:widowControl w:val="0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2206" w:type="dxa"/>
            <w:vAlign w:val="center"/>
          </w:tcPr>
          <w:p>
            <w:pPr>
              <w:widowControl w:val="0"/>
              <w:ind w:firstLine="0" w:firstLineChars="0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highlight w:val="green"/>
                <w:lang w:val="en-US" w:eastAsia="zh-CN"/>
              </w:rPr>
              <w:t>不低于59.99亿元</w:t>
            </w:r>
          </w:p>
        </w:tc>
        <w:tc>
          <w:tcPr>
            <w:tcW w:w="2357" w:type="dxa"/>
            <w:vAlign w:val="center"/>
          </w:tcPr>
          <w:p>
            <w:pPr>
              <w:widowControl w:val="0"/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不高于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_GB2312" w:eastAsia="仿宋_GB2312"/>
                <w:sz w:val="24"/>
                <w:szCs w:val="24"/>
              </w:rPr>
              <w:t>年期LPR浮动（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加</w:t>
            </w:r>
            <w:r>
              <w:rPr>
                <w:rFonts w:hint="eastAsia" w:ascii="仿宋_GB2312" w:eastAsia="仿宋_GB2312"/>
                <w:sz w:val="24"/>
                <w:szCs w:val="24"/>
                <w:highlight w:val="none"/>
                <w:lang w:val="en-US" w:eastAsia="zh-CN"/>
              </w:rPr>
              <w:t>/</w:t>
            </w:r>
            <w:r>
              <w:rPr>
                <w:rFonts w:hint="eastAsia" w:ascii="仿宋_GB2312" w:eastAsia="仿宋_GB2312"/>
                <w:sz w:val="24"/>
                <w:szCs w:val="24"/>
                <w:highlight w:val="none"/>
                <w:lang w:eastAsia="zh-CN"/>
              </w:rPr>
              <w:t>减</w:t>
            </w:r>
            <w:r>
              <w:rPr>
                <w:rFonts w:hint="eastAsia" w:ascii="仿宋_GB2312" w:eastAsia="仿宋_GB2312"/>
                <w:sz w:val="24"/>
                <w:szCs w:val="24"/>
              </w:rPr>
              <w:t>）</w:t>
            </w:r>
            <w:r>
              <w:rPr>
                <w:rFonts w:hint="eastAsia" w:ascii="仿宋_GB2312" w:eastAsia="仿宋_GB2312"/>
                <w:sz w:val="24"/>
                <w:szCs w:val="24"/>
                <w:highlight w:val="green"/>
              </w:rPr>
              <w:t>**</w:t>
            </w:r>
            <w:r>
              <w:rPr>
                <w:rFonts w:hint="eastAsia" w:ascii="仿宋_GB2312" w:eastAsia="仿宋_GB2312"/>
                <w:sz w:val="24"/>
                <w:szCs w:val="24"/>
              </w:rPr>
              <w:t>BP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2344" w:type="dxa"/>
            <w:vAlign w:val="center"/>
          </w:tcPr>
          <w:p>
            <w:pPr>
              <w:widowControl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利率调整</w:t>
            </w:r>
          </w:p>
        </w:tc>
        <w:tc>
          <w:tcPr>
            <w:tcW w:w="6504" w:type="dxa"/>
            <w:gridSpan w:val="3"/>
            <w:vAlign w:val="center"/>
          </w:tcPr>
          <w:p>
            <w:pPr>
              <w:widowControl w:val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每半年调整一次（每年1月1日、7月1日）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2344" w:type="dxa"/>
            <w:vAlign w:val="center"/>
          </w:tcPr>
          <w:p>
            <w:pPr>
              <w:widowControl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还款计划</w:t>
            </w:r>
          </w:p>
        </w:tc>
        <w:tc>
          <w:tcPr>
            <w:tcW w:w="6504" w:type="dxa"/>
            <w:gridSpan w:val="3"/>
            <w:vAlign w:val="center"/>
          </w:tcPr>
          <w:p>
            <w:pPr>
              <w:widowControl w:val="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2344" w:type="dxa"/>
            <w:vAlign w:val="center"/>
          </w:tcPr>
          <w:p>
            <w:pPr>
              <w:widowControl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担保方式</w:t>
            </w:r>
          </w:p>
        </w:tc>
        <w:tc>
          <w:tcPr>
            <w:tcW w:w="6504" w:type="dxa"/>
            <w:gridSpan w:val="3"/>
            <w:vAlign w:val="center"/>
          </w:tcPr>
          <w:p>
            <w:pPr>
              <w:widowControl w:val="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5" w:hRule="atLeast"/>
        </w:trPr>
        <w:tc>
          <w:tcPr>
            <w:tcW w:w="2344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  <w:lang w:eastAsia="zh-CN"/>
              </w:rPr>
              <w:t>贷款用途</w:t>
            </w:r>
          </w:p>
        </w:tc>
        <w:tc>
          <w:tcPr>
            <w:tcW w:w="6504" w:type="dxa"/>
            <w:gridSpan w:val="3"/>
            <w:vAlign w:val="center"/>
          </w:tcPr>
          <w:p>
            <w:pPr>
              <w:widowControl w:val="0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用于项目建设，及偿还用于项目建设的债务性融资，包括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但不限于</w:t>
            </w:r>
            <w:r>
              <w:rPr>
                <w:rFonts w:hint="eastAsia" w:ascii="仿宋_GB2312" w:eastAsia="仿宋_GB2312"/>
                <w:sz w:val="24"/>
                <w:szCs w:val="24"/>
              </w:rPr>
              <w:t>搭桥贷款、中票、企业债、专项债、供应链金融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等</w:t>
            </w:r>
            <w:r>
              <w:rPr>
                <w:rFonts w:hint="eastAsia" w:ascii="仿宋_GB2312" w:eastAsia="仿宋_GB2312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2344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  <w:lang w:eastAsia="zh-CN"/>
              </w:rPr>
              <w:t>其他事项</w:t>
            </w:r>
          </w:p>
        </w:tc>
        <w:tc>
          <w:tcPr>
            <w:tcW w:w="6504" w:type="dxa"/>
            <w:gridSpan w:val="3"/>
            <w:vAlign w:val="center"/>
          </w:tcPr>
          <w:p>
            <w:pPr>
              <w:widowControl w:val="0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不设排他性条款，运营期可提款</w:t>
            </w:r>
          </w:p>
        </w:tc>
      </w:tr>
    </w:tbl>
    <w:p>
      <w:pPr>
        <w:spacing w:line="560" w:lineRule="exact"/>
        <w:ind w:firstLine="64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我行承诺，将严格信守以上条件并履约执行</w:t>
      </w:r>
      <w:r>
        <w:rPr>
          <w:rFonts w:hint="eastAsia" w:ascii="仿宋_GB2312" w:eastAsia="仿宋_GB2312"/>
          <w:sz w:val="32"/>
          <w:szCs w:val="32"/>
          <w:lang w:eastAsia="zh-CN"/>
        </w:rPr>
        <w:t>。并指定由</w:t>
      </w:r>
      <w:r>
        <w:rPr>
          <w:rFonts w:hint="eastAsia" w:ascii="仿宋_GB2312" w:eastAsia="仿宋_GB2312"/>
          <w:sz w:val="32"/>
          <w:szCs w:val="32"/>
          <w:highlight w:val="green"/>
          <w:lang w:val="en-US" w:eastAsia="zh-CN"/>
        </w:rPr>
        <w:t>**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支行承办贵集团该项业务。</w:t>
      </w:r>
    </w:p>
    <w:p>
      <w:pPr>
        <w:spacing w:line="560" w:lineRule="exact"/>
        <w:ind w:firstLine="640"/>
        <w:rPr>
          <w:rFonts w:hint="default" w:ascii="仿宋_GB2312" w:eastAsia="仿宋_GB2312"/>
          <w:sz w:val="32"/>
          <w:szCs w:val="32"/>
          <w:lang w:val="en-US" w:eastAsia="zh-CN"/>
        </w:rPr>
      </w:pPr>
    </w:p>
    <w:p>
      <w:pPr>
        <w:spacing w:line="560" w:lineRule="exact"/>
        <w:ind w:firstLine="3520" w:firstLineChars="1100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***银行***分行</w:t>
      </w:r>
    </w:p>
    <w:p>
      <w:pPr>
        <w:spacing w:line="560" w:lineRule="exact"/>
        <w:ind w:firstLine="640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年 * 月  * 日</w:t>
      </w:r>
    </w:p>
    <w:p>
      <w:pPr>
        <w:spacing w:line="560" w:lineRule="exact"/>
        <w:ind w:firstLine="640"/>
        <w:rPr>
          <w:rFonts w:ascii="Verdana" w:hAnsi="Verdana" w:cs="Verdana"/>
          <w:color w:val="000000"/>
          <w:szCs w:val="21"/>
          <w:shd w:val="clear" w:color="auto" w:fill="FFFFFF"/>
        </w:rPr>
      </w:pPr>
      <w:r>
        <w:rPr>
          <w:rFonts w:hint="eastAsia" w:ascii="仿宋_GB2312" w:eastAsia="仿宋_GB2312"/>
          <w:sz w:val="32"/>
          <w:szCs w:val="32"/>
        </w:rPr>
        <w:t>经办人：****            联系电话：****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VkOTQ1YjFhNzQ1YjQyYWNiZDVlMGM0MzllYTg3YTkifQ=="/>
  </w:docVars>
  <w:rsids>
    <w:rsidRoot w:val="6A410EB1"/>
    <w:rsid w:val="6A410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99"/>
    <w:pPr>
      <w:widowControl w:val="0"/>
      <w:jc w:val="both"/>
    </w:pPr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302</Words>
  <Characters>325</Characters>
  <Lines>0</Lines>
  <Paragraphs>0</Paragraphs>
  <TotalTime>0</TotalTime>
  <ScaleCrop>false</ScaleCrop>
  <LinksUpToDate>false</LinksUpToDate>
  <CharactersWithSpaces>366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2023-06-27T07:41:00Z</dcterms:created>
  <dc:creator>四叠半囚人</dc:creator>
  <cp:lastModifiedBy>四叠半囚人</cp:lastModifiedBy>
  <dcterms:modified xsi:type="dcterms:W3CDTF">2023-06-27T07:41:29Z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524A4EA075DD4771AB72554D8DC2F8CD_11</vt:lpwstr>
  </property>
</Properties>
</file>