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附件1：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报价银行基本要求</w:t>
      </w:r>
    </w:p>
    <w:p>
      <w:pPr>
        <w:widowControl/>
        <w:spacing w:line="345" w:lineRule="atLeast"/>
        <w:jc w:val="center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1.在青岛市区域设有分支机构；</w:t>
      </w:r>
    </w:p>
    <w:p>
      <w:pPr>
        <w:pStyle w:val="10"/>
        <w:numPr>
          <w:ilvl w:val="0"/>
          <w:numId w:val="0"/>
        </w:numPr>
        <w:spacing w:line="240" w:lineRule="atLeast"/>
        <w:ind w:left="-4" w:leftChars="-2"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2.依法开展经营活动，银监部门年度监管评级2级以上或人民银行年度综合评价B级以上；</w:t>
      </w:r>
    </w:p>
    <w:p>
      <w:pPr>
        <w:pStyle w:val="10"/>
        <w:numPr>
          <w:ilvl w:val="0"/>
          <w:numId w:val="0"/>
        </w:numPr>
        <w:spacing w:line="240" w:lineRule="atLeast"/>
        <w:ind w:left="2" w:firstLine="579" w:firstLineChars="181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3. 财务稳健，资本充足率、流动性比例等指标达到监管标准；</w:t>
      </w: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4.内部管理机制健全，具有较强的风险控制能力，近3年内未发生金融风险及重大违约事件。</w:t>
      </w:r>
    </w:p>
    <w:p>
      <w:pPr>
        <w:pStyle w:val="10"/>
        <w:numPr>
          <w:ilvl w:val="0"/>
          <w:numId w:val="0"/>
        </w:numPr>
        <w:spacing w:line="240" w:lineRule="atLeast"/>
        <w:ind w:firstLine="566" w:firstLineChars="177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5.与集团及分子公司存在战略合作关系或存在融资等业务往来，包括但不限于银行贷款等间接融资业务及发行企业债、中票、融资租赁等直接融资业务的银行业金融机构及其分支机构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且集团已在该金融机构开立银行账户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。同一金融机构仅能授权一家分支机构参与，多家分支机构同时参与的，以金融机构授权委托书为准。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WVjYmUzOTg2MzRjYjUzMzRlMjZlZDhmYjk3MzQifQ=="/>
  </w:docVars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4364C5C"/>
    <w:rsid w:val="17081C08"/>
    <w:rsid w:val="31DA5A66"/>
    <w:rsid w:val="3FA35538"/>
    <w:rsid w:val="450D0399"/>
    <w:rsid w:val="52536FE7"/>
    <w:rsid w:val="5C2426FD"/>
    <w:rsid w:val="67016EC4"/>
    <w:rsid w:val="68280686"/>
    <w:rsid w:val="744F4F4F"/>
    <w:rsid w:val="7A415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472</Characters>
  <Lines>4</Lines>
  <Paragraphs>1</Paragraphs>
  <TotalTime>0</TotalTime>
  <ScaleCrop>false</ScaleCrop>
  <LinksUpToDate>false</LinksUpToDate>
  <CharactersWithSpaces>612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2017-10-10T01:09:00Z</dcterms:created>
  <dc:creator>杨曼宁</dc:creator>
  <cp:lastModifiedBy>linhong</cp:lastModifiedBy>
  <cp:lastPrinted>2022-05-13T08:48:00Z</cp:lastPrinted>
  <dcterms:modified xsi:type="dcterms:W3CDTF">2022-08-03T01:14:27Z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C6467D488EBA434F887F1D03DB14395F</vt:lpwstr>
  </property>
</Properties>
</file>